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23A1" w14:textId="2B448225" w:rsidR="008A3573" w:rsidRPr="002735C3" w:rsidRDefault="00642452" w:rsidP="002735C3">
      <w:pPr>
        <w:jc w:val="center"/>
        <w:rPr>
          <w:rFonts w:ascii="Gilroy" w:hAnsi="Gilroy"/>
          <w:b/>
          <w:bCs/>
          <w:sz w:val="28"/>
          <w:szCs w:val="28"/>
        </w:rPr>
      </w:pPr>
      <w:r w:rsidRPr="002735C3">
        <w:rPr>
          <w:rFonts w:ascii="Gilroy" w:hAnsi="Gilroy"/>
          <w:b/>
          <w:bCs/>
          <w:sz w:val="28"/>
          <w:szCs w:val="28"/>
        </w:rPr>
        <w:t>Vnitřní oznamovací systém zaměstnavatele</w:t>
      </w:r>
    </w:p>
    <w:p w14:paraId="04A75F06" w14:textId="77777777" w:rsidR="00642452" w:rsidRPr="002735C3" w:rsidRDefault="00642452">
      <w:pPr>
        <w:rPr>
          <w:rFonts w:ascii="Gilroy" w:hAnsi="Gilroy"/>
        </w:rPr>
      </w:pPr>
    </w:p>
    <w:p w14:paraId="0B5C6199" w14:textId="16F81B9C" w:rsidR="00642452" w:rsidRPr="002735C3" w:rsidRDefault="00642452">
      <w:pPr>
        <w:rPr>
          <w:rFonts w:ascii="Gilroy" w:hAnsi="Gilroy"/>
        </w:rPr>
      </w:pPr>
      <w:r w:rsidRPr="002735C3">
        <w:rPr>
          <w:rFonts w:ascii="Gilroy" w:hAnsi="Gilroy"/>
        </w:rPr>
        <w:t>Společnost ArcelorMittal Tubular Products Karviná a.s. si klade za cíl vystupovat čestně a poctivě, dbá na svoji dobrou pověst, a proto klade důraz i na transparentní jednání uvnitř Společnosti i navenek vůči třetím osobám. Společnost netoleruje protiprávní jednání a snaží se vždy činit vše pro to, aby bylo takové jednání eliminováno.</w:t>
      </w:r>
    </w:p>
    <w:p w14:paraId="2CC7F022" w14:textId="77777777" w:rsidR="00642452" w:rsidRPr="002735C3" w:rsidRDefault="00642452">
      <w:pPr>
        <w:rPr>
          <w:rFonts w:ascii="Gilroy" w:hAnsi="Gilroy"/>
        </w:rPr>
      </w:pPr>
    </w:p>
    <w:p w14:paraId="34A6FA5F" w14:textId="77777777" w:rsidR="00642452" w:rsidRPr="002735C3" w:rsidRDefault="00642452" w:rsidP="00642452">
      <w:pPr>
        <w:rPr>
          <w:rFonts w:ascii="Gilroy" w:hAnsi="Gilroy"/>
          <w:b/>
          <w:bCs/>
        </w:rPr>
      </w:pPr>
      <w:r w:rsidRPr="002735C3">
        <w:rPr>
          <w:rFonts w:ascii="Gilroy" w:hAnsi="Gilroy"/>
          <w:b/>
          <w:bCs/>
        </w:rPr>
        <w:t>Oznámení a způsoby podání</w:t>
      </w:r>
    </w:p>
    <w:p w14:paraId="04DFD9E5" w14:textId="4CC51066" w:rsidR="00642452" w:rsidRPr="002735C3" w:rsidRDefault="00642452" w:rsidP="00642452">
      <w:pPr>
        <w:pStyle w:val="Odstavecseseznamem"/>
        <w:numPr>
          <w:ilvl w:val="0"/>
          <w:numId w:val="2"/>
        </w:numPr>
        <w:spacing w:line="240" w:lineRule="auto"/>
        <w:ind w:left="425" w:hanging="425"/>
        <w:jc w:val="both"/>
        <w:rPr>
          <w:rFonts w:ascii="Gilroy" w:hAnsi="Gilroy"/>
        </w:rPr>
      </w:pPr>
      <w:r w:rsidRPr="002735C3">
        <w:rPr>
          <w:rFonts w:ascii="Gilroy" w:hAnsi="Gilroy"/>
        </w:rPr>
        <w:t>Oznámení lze podat prostřednictvím Vnitřního oznamovacího systému Příslušné osobě, Ministerstvu spravedlnosti nebo uveřejnit za podmínek uvedených v ustanovení § 7 odst. 1 písm. c) ZOCH.</w:t>
      </w:r>
    </w:p>
    <w:p w14:paraId="1AB6CF54" w14:textId="341993B4" w:rsidR="00642452" w:rsidRPr="002735C3" w:rsidRDefault="00642452" w:rsidP="00642452">
      <w:pPr>
        <w:pStyle w:val="Odstavecseseznamem"/>
        <w:numPr>
          <w:ilvl w:val="0"/>
          <w:numId w:val="2"/>
        </w:numPr>
        <w:spacing w:line="240" w:lineRule="auto"/>
        <w:ind w:left="425" w:hanging="425"/>
        <w:jc w:val="both"/>
        <w:rPr>
          <w:rFonts w:ascii="Gilroy" w:hAnsi="Gilroy"/>
        </w:rPr>
      </w:pPr>
      <w:r w:rsidRPr="002735C3">
        <w:rPr>
          <w:rFonts w:ascii="Gilroy" w:hAnsi="Gilroy"/>
        </w:rPr>
        <w:t>Oznamovatel musí správně uvést údaje o jménu, příjmení a datu narození, nebo jiné údaje, z nichž je možné dovodit totožnost Oznamovatele. Nemožnost kontaktu s Oznamovatelem může negativně ovlivnit prošetření Oznámení.</w:t>
      </w:r>
    </w:p>
    <w:p w14:paraId="723C98A3" w14:textId="1DDDAFA2" w:rsidR="00642452" w:rsidRPr="002735C3" w:rsidRDefault="00642452" w:rsidP="00642452">
      <w:pPr>
        <w:pStyle w:val="Odstavecseseznamem"/>
        <w:numPr>
          <w:ilvl w:val="0"/>
          <w:numId w:val="2"/>
        </w:numPr>
        <w:spacing w:line="240" w:lineRule="auto"/>
        <w:ind w:left="425" w:hanging="425"/>
        <w:jc w:val="both"/>
        <w:rPr>
          <w:rFonts w:ascii="Gilroy" w:hAnsi="Gilroy"/>
        </w:rPr>
      </w:pPr>
      <w:r w:rsidRPr="002735C3">
        <w:rPr>
          <w:rFonts w:ascii="Gilroy" w:hAnsi="Gilroy"/>
        </w:rPr>
        <w:t>Oznamovatel může podat oznámení prostřednictvím Platformy také anonymně, taková oznámení však nebudou posuzována v režimu ZOCH.</w:t>
      </w:r>
    </w:p>
    <w:p w14:paraId="19B89E3A" w14:textId="5FDE3457" w:rsidR="00642452" w:rsidRPr="002735C3" w:rsidRDefault="00642452" w:rsidP="00642452">
      <w:pPr>
        <w:pStyle w:val="Odstavecseseznamem"/>
        <w:numPr>
          <w:ilvl w:val="0"/>
          <w:numId w:val="2"/>
        </w:numPr>
        <w:spacing w:line="240" w:lineRule="auto"/>
        <w:ind w:left="425" w:hanging="425"/>
        <w:jc w:val="both"/>
        <w:rPr>
          <w:rFonts w:ascii="Gilroy" w:hAnsi="Gilroy"/>
        </w:rPr>
      </w:pPr>
      <w:r w:rsidRPr="002735C3">
        <w:rPr>
          <w:rFonts w:ascii="Gilroy" w:hAnsi="Gilroy"/>
        </w:rPr>
        <w:t>Oznámení obsahuje informace o možném protiprávním jednání, k němuž došlo nebo má dojít u Společnosti v rozsahu dle ustanovení § 2 ZOCH (tj. například jednání se znaky trestného činu, jednání, které porušuje ZOCH nebo zákony v oblasti finančních služeb, daně z příjmu právnických osob aj.).</w:t>
      </w:r>
    </w:p>
    <w:p w14:paraId="5A9AD808" w14:textId="2953E77A" w:rsidR="00642452" w:rsidRPr="002735C3" w:rsidRDefault="00642452" w:rsidP="00642452">
      <w:pPr>
        <w:pStyle w:val="Odstavecseseznamem"/>
        <w:numPr>
          <w:ilvl w:val="0"/>
          <w:numId w:val="2"/>
        </w:numPr>
        <w:spacing w:line="240" w:lineRule="auto"/>
        <w:ind w:left="425" w:hanging="425"/>
        <w:jc w:val="both"/>
        <w:rPr>
          <w:rFonts w:ascii="Gilroy" w:hAnsi="Gilroy"/>
        </w:rPr>
      </w:pPr>
      <w:r w:rsidRPr="002735C3">
        <w:rPr>
          <w:rFonts w:ascii="Gilroy" w:hAnsi="Gilroy"/>
        </w:rPr>
        <w:t>Oznamovatel by vzhledem k okolnostem a informacím, které má k dispozici v době činění Oznámení, měl mít pádný důvod se domnívat, že jím oznamované či zveřejňované skutečnosti jsou autentické a pravdivé. Nelze tedy oznamovat skutečnosti vědomě nepravdivé. Takovéto jednání může být sankcionováno. Oznamovatel by měl jednat ve veřejném zájmu a v dobré víře, přičemž při získávání podkladů k oznamované skutečnosti by se neměl dopustit jednání, které by mohlo mít charakter trestného činu.</w:t>
      </w:r>
    </w:p>
    <w:p w14:paraId="6C356B90" w14:textId="1F410AB3" w:rsidR="00642452" w:rsidRPr="002735C3" w:rsidRDefault="00642452" w:rsidP="00642452">
      <w:pPr>
        <w:pStyle w:val="Odstavecseseznamem"/>
        <w:numPr>
          <w:ilvl w:val="0"/>
          <w:numId w:val="2"/>
        </w:numPr>
        <w:spacing w:line="240" w:lineRule="auto"/>
        <w:ind w:left="425" w:hanging="425"/>
        <w:jc w:val="both"/>
        <w:rPr>
          <w:rFonts w:ascii="Gilroy" w:hAnsi="Gilroy"/>
        </w:rPr>
      </w:pPr>
      <w:r w:rsidRPr="002735C3">
        <w:rPr>
          <w:rFonts w:ascii="Gilroy" w:hAnsi="Gilroy"/>
        </w:rPr>
        <w:t>Společnost upozorňuje všechny Oznamovatele, že podání vědomě nepravdivého Oznámení je zakázáno a nezakládá žádnou ochranu Oznamovatele. Zároveň takové Oznámení může být považováno za porušení právních předpisů vztahujících se k zaměstnancem vykonávané práci zvlášť hrubým způsobem a mohou z toho být vyvozeny příslušné pracovněprávní důsledky. Současně může být takové jednání podle své závažnosti sankcionováno v rámci správního či trestního řízení.</w:t>
      </w:r>
    </w:p>
    <w:p w14:paraId="4DCB4C64" w14:textId="77777777" w:rsidR="008414E6" w:rsidRPr="002735C3" w:rsidRDefault="008414E6" w:rsidP="00681AE0">
      <w:pPr>
        <w:spacing w:line="240" w:lineRule="auto"/>
        <w:jc w:val="both"/>
        <w:rPr>
          <w:rFonts w:ascii="Gilroy" w:hAnsi="Gilroy"/>
          <w:b/>
          <w:bCs/>
        </w:rPr>
      </w:pPr>
    </w:p>
    <w:p w14:paraId="31D259B3" w14:textId="598E93DC" w:rsidR="00681AE0" w:rsidRPr="002735C3" w:rsidRDefault="00681AE0" w:rsidP="00681AE0">
      <w:pPr>
        <w:spacing w:line="240" w:lineRule="auto"/>
        <w:jc w:val="both"/>
        <w:rPr>
          <w:rFonts w:ascii="Gilroy" w:hAnsi="Gilroy"/>
          <w:b/>
          <w:bCs/>
        </w:rPr>
      </w:pPr>
      <w:r w:rsidRPr="002735C3">
        <w:rPr>
          <w:rFonts w:ascii="Gilroy" w:hAnsi="Gilroy"/>
          <w:b/>
          <w:bCs/>
        </w:rPr>
        <w:t>Příslušná osoba</w:t>
      </w:r>
    </w:p>
    <w:p w14:paraId="3E737977" w14:textId="660F523A" w:rsidR="00681AE0" w:rsidRPr="002735C3" w:rsidRDefault="00681AE0" w:rsidP="00681AE0">
      <w:pPr>
        <w:spacing w:line="240" w:lineRule="auto"/>
        <w:jc w:val="both"/>
        <w:rPr>
          <w:rFonts w:ascii="Gilroy" w:hAnsi="Gilroy"/>
        </w:rPr>
      </w:pPr>
      <w:r w:rsidRPr="002735C3">
        <w:rPr>
          <w:rFonts w:ascii="Gilroy" w:hAnsi="Gilroy"/>
        </w:rPr>
        <w:t>Osoba nebo osoby pověřené ze strany Společnosti přijímáním Oznámení a posuzování jejich důvodnosti, která navrhuje (v případně důvodnosti Oznámení) opatření k nápravě nebo předejití protiprávního stavu. Při výkonu své činnosti postupuje nestranně a je vázána mlčenlivostí.</w:t>
      </w:r>
    </w:p>
    <w:p w14:paraId="487FAD3C" w14:textId="64FA421E" w:rsidR="00681AE0" w:rsidRPr="002735C3" w:rsidRDefault="00681AE0" w:rsidP="00681AE0">
      <w:pPr>
        <w:spacing w:line="240" w:lineRule="auto"/>
        <w:jc w:val="both"/>
        <w:rPr>
          <w:rFonts w:ascii="Gilroy" w:hAnsi="Gilroy"/>
        </w:rPr>
      </w:pPr>
      <w:r w:rsidRPr="002735C3">
        <w:rPr>
          <w:rFonts w:ascii="Gilroy" w:hAnsi="Gilroy"/>
        </w:rPr>
        <w:t>Příslušnou osobou určenou Společností je:</w:t>
      </w:r>
    </w:p>
    <w:p w14:paraId="30C89ACD" w14:textId="25E45690" w:rsidR="00681AE0" w:rsidRPr="002735C3" w:rsidRDefault="00681AE0" w:rsidP="00681AE0">
      <w:pPr>
        <w:spacing w:line="240" w:lineRule="auto"/>
        <w:jc w:val="both"/>
        <w:rPr>
          <w:rFonts w:ascii="Gilroy" w:hAnsi="Gilroy"/>
          <w:b/>
          <w:bCs/>
        </w:rPr>
      </w:pPr>
      <w:r w:rsidRPr="002735C3">
        <w:rPr>
          <w:rFonts w:ascii="Gilroy" w:hAnsi="Gilroy"/>
          <w:b/>
          <w:bCs/>
        </w:rPr>
        <w:t>Personální ředitel AMTP Karviná</w:t>
      </w:r>
      <w:r w:rsidR="008414E6" w:rsidRPr="002735C3">
        <w:rPr>
          <w:rFonts w:ascii="Gilroy" w:hAnsi="Gilroy"/>
          <w:b/>
          <w:bCs/>
        </w:rPr>
        <w:t xml:space="preserve"> a Vedoucí interního auditu a SOX skupiny ArcelorMittal</w:t>
      </w:r>
    </w:p>
    <w:p w14:paraId="3FCCB4E5" w14:textId="77777777" w:rsidR="002735C3" w:rsidRPr="002735C3" w:rsidRDefault="002735C3" w:rsidP="00642452">
      <w:pPr>
        <w:spacing w:line="240" w:lineRule="auto"/>
        <w:jc w:val="both"/>
        <w:rPr>
          <w:rFonts w:ascii="Gilroy" w:hAnsi="Gilroy"/>
          <w:b/>
          <w:bCs/>
        </w:rPr>
      </w:pPr>
    </w:p>
    <w:p w14:paraId="49935873" w14:textId="35B36F97" w:rsidR="00642452" w:rsidRPr="002735C3" w:rsidRDefault="00642452" w:rsidP="00642452">
      <w:pPr>
        <w:spacing w:line="240" w:lineRule="auto"/>
        <w:jc w:val="both"/>
        <w:rPr>
          <w:rFonts w:ascii="Gilroy" w:hAnsi="Gilroy"/>
          <w:b/>
          <w:bCs/>
        </w:rPr>
      </w:pPr>
      <w:r w:rsidRPr="002735C3">
        <w:rPr>
          <w:rFonts w:ascii="Gilroy" w:hAnsi="Gilroy"/>
          <w:b/>
          <w:bCs/>
        </w:rPr>
        <w:t>Vnitřní oznamovací systém</w:t>
      </w:r>
    </w:p>
    <w:p w14:paraId="28D546E8" w14:textId="77777777" w:rsidR="00855EF9" w:rsidRPr="002735C3" w:rsidRDefault="00642452" w:rsidP="00855EF9">
      <w:pPr>
        <w:spacing w:line="240" w:lineRule="auto"/>
        <w:jc w:val="both"/>
        <w:rPr>
          <w:rFonts w:ascii="Gilroy" w:hAnsi="Gilroy"/>
        </w:rPr>
      </w:pPr>
      <w:r w:rsidRPr="002735C3">
        <w:rPr>
          <w:rFonts w:ascii="Gilroy" w:hAnsi="Gilroy"/>
        </w:rPr>
        <w:t>Oznamovatel může podat Oznámení k rukám Příslušné osoby, a to jedním z následujících způsobů</w:t>
      </w:r>
      <w:r w:rsidR="00855EF9" w:rsidRPr="002735C3">
        <w:rPr>
          <w:rFonts w:ascii="Gilroy" w:hAnsi="Gilroy"/>
        </w:rPr>
        <w:t>:</w:t>
      </w:r>
    </w:p>
    <w:p w14:paraId="204E3E48" w14:textId="38F0743E" w:rsidR="00642452" w:rsidRPr="002735C3" w:rsidRDefault="00855EF9" w:rsidP="00855EF9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Gilroy" w:hAnsi="Gilroy"/>
          <w:b/>
          <w:bCs/>
        </w:rPr>
      </w:pPr>
      <w:r w:rsidRPr="002735C3">
        <w:rPr>
          <w:rFonts w:ascii="Gilroy" w:hAnsi="Gilroy"/>
          <w:b/>
          <w:bCs/>
        </w:rPr>
        <w:t>T</w:t>
      </w:r>
      <w:r w:rsidR="00642452" w:rsidRPr="002735C3">
        <w:rPr>
          <w:rFonts w:ascii="Gilroy" w:hAnsi="Gilroy"/>
          <w:b/>
          <w:bCs/>
        </w:rPr>
        <w:t xml:space="preserve">elefonicky nebo písemně </w:t>
      </w:r>
    </w:p>
    <w:p w14:paraId="74B8092C" w14:textId="20A4BC51" w:rsidR="00642452" w:rsidRPr="002735C3" w:rsidRDefault="003D64A9" w:rsidP="00642452">
      <w:pPr>
        <w:spacing w:line="240" w:lineRule="auto"/>
        <w:jc w:val="both"/>
        <w:rPr>
          <w:rFonts w:ascii="Gilroy" w:hAnsi="Gilroy"/>
        </w:rPr>
      </w:pPr>
      <w:r w:rsidRPr="002735C3">
        <w:rPr>
          <w:rFonts w:ascii="Gilroy" w:hAnsi="Gilroy"/>
        </w:rPr>
        <w:lastRenderedPageBreak/>
        <w:t>P</w:t>
      </w:r>
      <w:r w:rsidR="00642452" w:rsidRPr="002735C3">
        <w:rPr>
          <w:rFonts w:ascii="Gilroy" w:hAnsi="Gilroy"/>
        </w:rPr>
        <w:t xml:space="preserve">rostřednictvím platformy vnitřního oznamovacího systému EthicsPoint dostupné na adrese: </w:t>
      </w:r>
      <w:r w:rsidR="00642452" w:rsidRPr="002735C3">
        <w:rPr>
          <w:rFonts w:ascii="Gilroy" w:hAnsi="Gilroy"/>
          <w:b/>
          <w:bCs/>
        </w:rPr>
        <w:t>arcelormittal.</w:t>
      </w:r>
      <w:r w:rsidR="00855EF9" w:rsidRPr="002735C3">
        <w:rPr>
          <w:rFonts w:ascii="Gilroy" w:hAnsi="Gilroy"/>
          <w:b/>
          <w:bCs/>
        </w:rPr>
        <w:t>ethicspoint.</w:t>
      </w:r>
      <w:r w:rsidR="00642452" w:rsidRPr="002735C3">
        <w:rPr>
          <w:rFonts w:ascii="Gilroy" w:hAnsi="Gilroy"/>
          <w:b/>
          <w:bCs/>
        </w:rPr>
        <w:t>com</w:t>
      </w:r>
      <w:r w:rsidR="00642452" w:rsidRPr="002735C3">
        <w:rPr>
          <w:rFonts w:ascii="Gilroy" w:hAnsi="Gilroy"/>
        </w:rPr>
        <w:t xml:space="preserve">, a to po vyplnění formuláře, kde Oznamovatel napíše své Oznámení nebo jej sdělí po zavolání na uvedené telefonní číslo dle pokynů tamtéž. </w:t>
      </w:r>
    </w:p>
    <w:p w14:paraId="5344E5F4" w14:textId="77777777" w:rsidR="00642452" w:rsidRPr="002735C3" w:rsidRDefault="00642452" w:rsidP="00642452">
      <w:pPr>
        <w:spacing w:line="240" w:lineRule="auto"/>
        <w:jc w:val="both"/>
        <w:rPr>
          <w:rFonts w:ascii="Gilroy" w:hAnsi="Gilroy"/>
        </w:rPr>
      </w:pPr>
      <w:r w:rsidRPr="002735C3">
        <w:rPr>
          <w:rFonts w:ascii="Gilroy" w:hAnsi="Gilroy"/>
        </w:rPr>
        <w:t>Po podání oznámení prostřednictvím webové stránky nebo telefonní linky EthicsPoint dostane Oznamovatel jedinečné uživatelské jméno a zvolí si heslo. Později se do Platformy EthicsPoint můžete prostřednictvím internetu nebo telefonní linky vrátit, znovu otevřít své původní Oznámení a doplnit další podrobnosti nebo zodpovědět otázky od Příslušné osoby. Oznamovatel je v této souvislosti povinen pravidelně kontrolovat svůj účet a poskytovat nezbytnou součinnost, aby mohlo dojít k řádnému prošetření Oznámení.</w:t>
      </w:r>
    </w:p>
    <w:p w14:paraId="15369CFB" w14:textId="342AA0E2" w:rsidR="00642452" w:rsidRPr="002735C3" w:rsidRDefault="00855EF9" w:rsidP="003D64A9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Gilroy" w:hAnsi="Gilroy"/>
          <w:b/>
          <w:bCs/>
        </w:rPr>
      </w:pPr>
      <w:r w:rsidRPr="002735C3">
        <w:rPr>
          <w:rFonts w:ascii="Gilroy" w:hAnsi="Gilroy"/>
          <w:b/>
          <w:bCs/>
        </w:rPr>
        <w:t>O</w:t>
      </w:r>
      <w:r w:rsidR="00642452" w:rsidRPr="002735C3">
        <w:rPr>
          <w:rFonts w:ascii="Gilroy" w:hAnsi="Gilroy"/>
          <w:b/>
          <w:bCs/>
        </w:rPr>
        <w:t xml:space="preserve">sobně v kanceláři </w:t>
      </w:r>
      <w:r w:rsidR="00681AE0" w:rsidRPr="002735C3">
        <w:rPr>
          <w:rFonts w:ascii="Gilroy" w:hAnsi="Gilroy"/>
          <w:b/>
          <w:bCs/>
        </w:rPr>
        <w:t>Příslušné osoby</w:t>
      </w:r>
    </w:p>
    <w:p w14:paraId="009CA297" w14:textId="774E25D0" w:rsidR="00164E9B" w:rsidRPr="002735C3" w:rsidRDefault="00855EF9" w:rsidP="00EB7376">
      <w:pPr>
        <w:spacing w:line="240" w:lineRule="auto"/>
        <w:jc w:val="both"/>
        <w:rPr>
          <w:rFonts w:ascii="Gilroy" w:hAnsi="Gilroy"/>
        </w:rPr>
      </w:pPr>
      <w:r w:rsidRPr="002735C3">
        <w:rPr>
          <w:rFonts w:ascii="Gilroy" w:hAnsi="Gilroy"/>
        </w:rPr>
        <w:t>N</w:t>
      </w:r>
      <w:r w:rsidR="00642452" w:rsidRPr="002735C3">
        <w:rPr>
          <w:rFonts w:ascii="Gilroy" w:hAnsi="Gilroy"/>
        </w:rPr>
        <w:t xml:space="preserve">a základě vyžádání přímo v kanceláři </w:t>
      </w:r>
      <w:r w:rsidR="00E54081">
        <w:rPr>
          <w:rFonts w:ascii="Gilroy" w:hAnsi="Gilroy"/>
        </w:rPr>
        <w:t xml:space="preserve">personálního ředitele </w:t>
      </w:r>
      <w:r w:rsidR="00EB7376">
        <w:rPr>
          <w:rFonts w:ascii="Gilroy" w:hAnsi="Gilroy"/>
        </w:rPr>
        <w:t>v</w:t>
      </w:r>
      <w:r w:rsidR="00EB7376">
        <w:rPr>
          <w:rFonts w:ascii="Calibri" w:hAnsi="Calibri" w:cs="Calibri"/>
        </w:rPr>
        <w:t> </w:t>
      </w:r>
      <w:r w:rsidR="00EB7376">
        <w:rPr>
          <w:rFonts w:ascii="Gilroy" w:hAnsi="Gilroy"/>
        </w:rPr>
        <w:t xml:space="preserve">pracovní dny od 08:00 do 16:00 hod. </w:t>
      </w:r>
    </w:p>
    <w:sectPr w:rsidR="00164E9B" w:rsidRPr="0027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E61"/>
    <w:multiLevelType w:val="hybridMultilevel"/>
    <w:tmpl w:val="4A6EC30C"/>
    <w:lvl w:ilvl="0" w:tplc="040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62441"/>
    <w:multiLevelType w:val="hybridMultilevel"/>
    <w:tmpl w:val="FC2CCFAA"/>
    <w:lvl w:ilvl="0" w:tplc="6BD67C0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0C30"/>
    <w:multiLevelType w:val="hybridMultilevel"/>
    <w:tmpl w:val="7C1EE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51CD"/>
    <w:multiLevelType w:val="hybridMultilevel"/>
    <w:tmpl w:val="FD207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61616"/>
    <w:multiLevelType w:val="hybridMultilevel"/>
    <w:tmpl w:val="950436CA"/>
    <w:lvl w:ilvl="0" w:tplc="4E06CD10">
      <w:start w:val="1"/>
      <w:numFmt w:val="lowerLetter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4E38"/>
    <w:multiLevelType w:val="hybridMultilevel"/>
    <w:tmpl w:val="9BFC89CC"/>
    <w:lvl w:ilvl="0" w:tplc="6BD67C0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486908">
    <w:abstractNumId w:val="2"/>
  </w:num>
  <w:num w:numId="2" w16cid:durableId="2110923695">
    <w:abstractNumId w:val="5"/>
  </w:num>
  <w:num w:numId="3" w16cid:durableId="1810005688">
    <w:abstractNumId w:val="1"/>
  </w:num>
  <w:num w:numId="4" w16cid:durableId="661353844">
    <w:abstractNumId w:val="4"/>
  </w:num>
  <w:num w:numId="5" w16cid:durableId="166596278">
    <w:abstractNumId w:val="0"/>
  </w:num>
  <w:num w:numId="6" w16cid:durableId="1569850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52"/>
    <w:rsid w:val="00164E9B"/>
    <w:rsid w:val="002735C3"/>
    <w:rsid w:val="003D64A9"/>
    <w:rsid w:val="005F09D1"/>
    <w:rsid w:val="00642452"/>
    <w:rsid w:val="00681AE0"/>
    <w:rsid w:val="008414E6"/>
    <w:rsid w:val="00855EF9"/>
    <w:rsid w:val="008A3573"/>
    <w:rsid w:val="00E54081"/>
    <w:rsid w:val="00E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B94F"/>
  <w15:chartTrackingRefBased/>
  <w15:docId w15:val="{36FC422F-4001-45CC-BC4A-61E0EE3B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4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1A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Seveckova, Andrea</dc:creator>
  <cp:keywords/>
  <dc:description/>
  <cp:lastModifiedBy>Seveckova, Andrea</cp:lastModifiedBy>
  <cp:revision>3</cp:revision>
  <dcterms:created xsi:type="dcterms:W3CDTF">2023-12-05T07:06:00Z</dcterms:created>
  <dcterms:modified xsi:type="dcterms:W3CDTF">2024-03-26T09:51:00Z</dcterms:modified>
</cp:coreProperties>
</file>